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AE8EA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en-US"/>
        </w:rPr>
      </w:pPr>
    </w:p>
    <w:p w14:paraId="272634A6" w14:textId="77777777" w:rsidR="00486B90" w:rsidRPr="004E39F1" w:rsidRDefault="00486B90" w:rsidP="00486B90">
      <w:pPr>
        <w:spacing w:after="0" w:line="240" w:lineRule="auto"/>
        <w:jc w:val="center"/>
        <w:rPr>
          <w:rFonts w:cs="Times"/>
          <w:sz w:val="24"/>
          <w:szCs w:val="24"/>
          <w:lang w:val="en-US"/>
        </w:rPr>
      </w:pPr>
      <w:r w:rsidRPr="004E39F1">
        <w:rPr>
          <w:rFonts w:cs="Times"/>
          <w:b/>
          <w:sz w:val="32"/>
          <w:szCs w:val="32"/>
          <w:lang w:val="en-US"/>
        </w:rPr>
        <w:t>LEGENDS FOR FIGURES</w:t>
      </w:r>
    </w:p>
    <w:p w14:paraId="7FBE7D66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cs="Times"/>
          <w:sz w:val="32"/>
          <w:szCs w:val="32"/>
          <w:lang w:val="en-US"/>
        </w:rPr>
      </w:pPr>
    </w:p>
    <w:p w14:paraId="15947FB7" w14:textId="424EFBF3" w:rsidR="00402218" w:rsidRPr="004E39F1" w:rsidRDefault="00402218" w:rsidP="00402218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sz w:val="28"/>
          <w:szCs w:val="28"/>
          <w:lang w:val="en-US"/>
        </w:rPr>
      </w:pPr>
      <w:r>
        <w:rPr>
          <w:rFonts w:cs="Times"/>
          <w:b/>
          <w:sz w:val="28"/>
          <w:szCs w:val="28"/>
          <w:lang w:val="en-US"/>
        </w:rPr>
        <w:t>Fig. 1</w:t>
      </w:r>
      <w:r w:rsidRPr="004E39F1">
        <w:rPr>
          <w:rFonts w:cs="Times"/>
          <w:b/>
          <w:sz w:val="28"/>
          <w:szCs w:val="28"/>
          <w:lang w:val="en-US"/>
        </w:rPr>
        <w:t>:</w:t>
      </w:r>
      <w:r w:rsidRPr="004E39F1">
        <w:rPr>
          <w:rFonts w:cs="Times"/>
          <w:sz w:val="28"/>
          <w:szCs w:val="28"/>
          <w:lang w:val="en-US"/>
        </w:rPr>
        <w:t xml:space="preserve"> The new theory on the development of complications and organ failure/s in patients with cirrh</w:t>
      </w:r>
      <w:r>
        <w:rPr>
          <w:rFonts w:cs="Times"/>
          <w:sz w:val="28"/>
          <w:szCs w:val="28"/>
          <w:lang w:val="en-US"/>
        </w:rPr>
        <w:t>osis (adapted from reference 5</w:t>
      </w:r>
      <w:r w:rsidRPr="004E39F1">
        <w:rPr>
          <w:rFonts w:cs="Times"/>
          <w:sz w:val="28"/>
          <w:szCs w:val="28"/>
          <w:lang w:val="en-US"/>
        </w:rPr>
        <w:t>)</w:t>
      </w:r>
    </w:p>
    <w:p w14:paraId="49DD9BA1" w14:textId="45660CAB" w:rsidR="00486B90" w:rsidRPr="000B5C52" w:rsidRDefault="00402218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</w:rPr>
      </w:pPr>
      <w:r>
        <w:rPr>
          <w:rFonts w:cs="Times"/>
          <w:b/>
          <w:sz w:val="28"/>
          <w:szCs w:val="28"/>
          <w:lang w:val="en-US"/>
        </w:rPr>
        <w:t>Fig.2</w:t>
      </w:r>
      <w:r w:rsidR="00486B90">
        <w:rPr>
          <w:rFonts w:cs="Times"/>
          <w:b/>
          <w:sz w:val="28"/>
          <w:szCs w:val="28"/>
          <w:lang w:val="en-US"/>
        </w:rPr>
        <w:t xml:space="preserve">. </w:t>
      </w:r>
      <w:r w:rsidR="00486B90" w:rsidRPr="000B5C52">
        <w:rPr>
          <w:rFonts w:cs="Times"/>
          <w:bCs/>
          <w:sz w:val="28"/>
          <w:szCs w:val="28"/>
          <w:lang w:val="en-US"/>
        </w:rPr>
        <w:t xml:space="preserve">Algorithm for the management of </w:t>
      </w:r>
      <w:r w:rsidR="00486B90">
        <w:rPr>
          <w:rFonts w:cs="Times"/>
          <w:bCs/>
          <w:sz w:val="28"/>
          <w:szCs w:val="28"/>
          <w:lang w:val="en-US"/>
        </w:rPr>
        <w:t>a</w:t>
      </w:r>
      <w:r w:rsidR="00486B90" w:rsidRPr="000B5C52">
        <w:rPr>
          <w:rFonts w:cs="Times"/>
          <w:bCs/>
          <w:sz w:val="28"/>
          <w:szCs w:val="28"/>
          <w:lang w:val="en-US"/>
        </w:rPr>
        <w:t>cute gastrointestina</w:t>
      </w:r>
      <w:r w:rsidR="00486B90">
        <w:rPr>
          <w:rFonts w:cs="Times"/>
          <w:bCs/>
          <w:sz w:val="28"/>
          <w:szCs w:val="28"/>
          <w:lang w:val="en-US"/>
        </w:rPr>
        <w:t>l bleeding in patients with cirrhosis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>
        <w:rPr>
          <w:rFonts w:cs="Times"/>
          <w:bCs/>
          <w:sz w:val="28"/>
          <w:szCs w:val="28"/>
          <w:lang w:val="en-US"/>
        </w:rPr>
        <w:t xml:space="preserve"> from reference 168</w:t>
      </w:r>
      <w:r w:rsidR="00486B90">
        <w:rPr>
          <w:rFonts w:cs="Times"/>
          <w:bCs/>
          <w:sz w:val="28"/>
          <w:szCs w:val="28"/>
          <w:lang w:val="en-US"/>
        </w:rPr>
        <w:t>)</w:t>
      </w:r>
    </w:p>
    <w:p w14:paraId="33B03196" w14:textId="048823E2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sz w:val="28"/>
          <w:szCs w:val="28"/>
          <w:lang w:val="en-US"/>
        </w:rPr>
      </w:pPr>
      <w:r>
        <w:rPr>
          <w:rFonts w:cs="Times"/>
          <w:b/>
          <w:sz w:val="28"/>
          <w:szCs w:val="28"/>
          <w:lang w:val="en-US"/>
        </w:rPr>
        <w:t>Fig. 3</w:t>
      </w:r>
      <w:r w:rsidRPr="004E39F1">
        <w:rPr>
          <w:rFonts w:cs="Times"/>
          <w:b/>
          <w:sz w:val="28"/>
          <w:szCs w:val="28"/>
          <w:lang w:val="en-US"/>
        </w:rPr>
        <w:t>:</w:t>
      </w:r>
      <w:r w:rsidRPr="004E39F1">
        <w:rPr>
          <w:rFonts w:cs="Times"/>
          <w:sz w:val="28"/>
          <w:szCs w:val="28"/>
          <w:lang w:val="en-US"/>
        </w:rPr>
        <w:t xml:space="preserve"> Algorithm for the application of </w:t>
      </w:r>
      <w:proofErr w:type="spellStart"/>
      <w:r w:rsidRPr="004E39F1">
        <w:rPr>
          <w:rFonts w:cs="Times"/>
          <w:sz w:val="28"/>
          <w:szCs w:val="28"/>
          <w:lang w:val="en-US"/>
        </w:rPr>
        <w:t>qSOFA</w:t>
      </w:r>
      <w:proofErr w:type="spellEnd"/>
      <w:r w:rsidRPr="004E39F1">
        <w:rPr>
          <w:rFonts w:cs="Times"/>
          <w:sz w:val="28"/>
          <w:szCs w:val="28"/>
          <w:lang w:val="en-US"/>
        </w:rPr>
        <w:t xml:space="preserve"> and Sepsis-3 criteria in patients with cirrhosis and bacterial infections (</w:t>
      </w:r>
      <w:r w:rsidR="0090734A">
        <w:rPr>
          <w:rFonts w:cs="Times"/>
          <w:sz w:val="28"/>
          <w:szCs w:val="28"/>
          <w:lang w:val="en-US"/>
        </w:rPr>
        <w:t>adapted</w:t>
      </w:r>
      <w:r w:rsidRPr="004E39F1">
        <w:rPr>
          <w:rFonts w:cs="Times"/>
          <w:sz w:val="28"/>
          <w:szCs w:val="28"/>
          <w:lang w:val="en-US"/>
        </w:rPr>
        <w:t xml:space="preserve"> form r</w:t>
      </w:r>
      <w:r w:rsidR="00402218">
        <w:rPr>
          <w:rFonts w:cs="Times"/>
          <w:sz w:val="28"/>
          <w:szCs w:val="28"/>
          <w:lang w:val="en-US"/>
        </w:rPr>
        <w:t>eference 271</w:t>
      </w:r>
      <w:r w:rsidRPr="004E39F1">
        <w:rPr>
          <w:rFonts w:cs="Times"/>
          <w:sz w:val="28"/>
          <w:szCs w:val="28"/>
          <w:lang w:val="en-US"/>
        </w:rPr>
        <w:t>)</w:t>
      </w:r>
    </w:p>
    <w:p w14:paraId="096B138C" w14:textId="4EDAF585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sz w:val="28"/>
          <w:szCs w:val="28"/>
          <w:lang w:val="en-US"/>
        </w:rPr>
        <w:t>Fig. 4</w:t>
      </w:r>
      <w:r w:rsidRPr="004E39F1">
        <w:rPr>
          <w:rFonts w:cs="Times"/>
          <w:b/>
          <w:sz w:val="28"/>
          <w:szCs w:val="28"/>
          <w:lang w:val="en-US"/>
        </w:rPr>
        <w:t>:</w:t>
      </w:r>
      <w:r w:rsidRPr="004E39F1">
        <w:rPr>
          <w:rFonts w:eastAsia="MS PGothic" w:cs="MS PGothic"/>
          <w:b/>
          <w:bCs/>
          <w:color w:val="00002A"/>
          <w:kern w:val="24"/>
          <w:sz w:val="28"/>
          <w:szCs w:val="28"/>
          <w:lang w:val="en-US" w:eastAsia="it-IT"/>
        </w:rPr>
        <w:t xml:space="preserve"> </w:t>
      </w:r>
      <w:r w:rsidRPr="004E39F1">
        <w:rPr>
          <w:rFonts w:cs="Times"/>
          <w:bCs/>
          <w:sz w:val="28"/>
          <w:szCs w:val="28"/>
          <w:lang w:val="en-US"/>
        </w:rPr>
        <w:t>Recommended empirical antibiotic treatment of spontaneous bacterial peritonitis (SBP) or spontaneous bacterial empyema (</w:t>
      </w:r>
      <w:r>
        <w:rPr>
          <w:rFonts w:cs="Times"/>
          <w:bCs/>
          <w:sz w:val="28"/>
          <w:szCs w:val="28"/>
          <w:lang w:val="en-US"/>
        </w:rPr>
        <w:t>SBE)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>
        <w:rPr>
          <w:rFonts w:cs="Times"/>
          <w:bCs/>
          <w:sz w:val="28"/>
          <w:szCs w:val="28"/>
          <w:lang w:val="en-US"/>
        </w:rPr>
        <w:t xml:space="preserve"> from reference 6</w:t>
      </w:r>
      <w:r w:rsidRPr="004E39F1">
        <w:rPr>
          <w:rFonts w:cs="Times"/>
          <w:bCs/>
          <w:sz w:val="28"/>
          <w:szCs w:val="28"/>
          <w:lang w:val="en-US"/>
        </w:rPr>
        <w:t>)</w:t>
      </w:r>
    </w:p>
    <w:p w14:paraId="6BD9A358" w14:textId="325C73D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eastAsia="MS PGothic" w:cs="MS PGothic"/>
          <w:bCs/>
          <w:color w:val="00002A"/>
          <w:kern w:val="24"/>
          <w:sz w:val="28"/>
          <w:szCs w:val="28"/>
          <w:lang w:val="en-US"/>
        </w:rPr>
      </w:pPr>
      <w:r>
        <w:rPr>
          <w:rFonts w:cs="Times"/>
          <w:b/>
          <w:sz w:val="28"/>
          <w:szCs w:val="28"/>
          <w:lang w:val="en-US"/>
        </w:rPr>
        <w:t>Fig. 5</w:t>
      </w:r>
      <w:r w:rsidRPr="004E39F1">
        <w:rPr>
          <w:rFonts w:cs="Times"/>
          <w:b/>
          <w:sz w:val="28"/>
          <w:szCs w:val="28"/>
          <w:lang w:val="en-US"/>
        </w:rPr>
        <w:t>:</w:t>
      </w:r>
      <w:r w:rsidRPr="004E39F1">
        <w:rPr>
          <w:rFonts w:eastAsia="MS PGothic" w:cs="MS PGothic"/>
          <w:b/>
          <w:bCs/>
          <w:color w:val="00002A"/>
          <w:kern w:val="24"/>
          <w:sz w:val="28"/>
          <w:szCs w:val="28"/>
          <w:lang w:val="en-US" w:eastAsia="it-IT"/>
        </w:rPr>
        <w:t xml:space="preserve"> </w:t>
      </w:r>
      <w:r w:rsidRPr="004E39F1">
        <w:rPr>
          <w:rFonts w:eastAsia="MS PGothic" w:cs="MS PGothic"/>
          <w:bCs/>
          <w:color w:val="00002A"/>
          <w:kern w:val="24"/>
          <w:sz w:val="28"/>
          <w:szCs w:val="28"/>
          <w:lang w:val="en-US"/>
        </w:rPr>
        <w:t>Recommended empirical antibiotic treatment of soft tissue infections</w:t>
      </w:r>
      <w:r w:rsidRPr="004E39F1">
        <w:rPr>
          <w:rFonts w:cs="Times"/>
          <w:bCs/>
          <w:sz w:val="28"/>
          <w:szCs w:val="28"/>
          <w:lang w:val="en-US"/>
        </w:rPr>
        <w:t xml:space="preserve">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>
        <w:rPr>
          <w:rFonts w:cs="Times"/>
          <w:bCs/>
          <w:sz w:val="28"/>
          <w:szCs w:val="28"/>
          <w:lang w:val="en-US"/>
        </w:rPr>
        <w:t xml:space="preserve"> from reference 6</w:t>
      </w:r>
      <w:r w:rsidRPr="004E39F1">
        <w:rPr>
          <w:rFonts w:cs="Times"/>
          <w:bCs/>
          <w:sz w:val="28"/>
          <w:szCs w:val="28"/>
          <w:lang w:val="en-US"/>
        </w:rPr>
        <w:t>)</w:t>
      </w:r>
    </w:p>
    <w:p w14:paraId="175C5DBC" w14:textId="57EA0E55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sz w:val="28"/>
          <w:szCs w:val="28"/>
          <w:lang w:val="en-US"/>
        </w:rPr>
        <w:t>Fig. 6</w:t>
      </w:r>
      <w:r w:rsidRPr="004E39F1">
        <w:rPr>
          <w:rFonts w:cs="Times"/>
          <w:b/>
          <w:sz w:val="28"/>
          <w:szCs w:val="28"/>
          <w:lang w:val="en-US"/>
        </w:rPr>
        <w:t>:</w:t>
      </w:r>
      <w:r w:rsidRPr="004E39F1">
        <w:rPr>
          <w:rFonts w:eastAsia="MS PGothic" w:cs="MS PGothic"/>
          <w:b/>
          <w:bCs/>
          <w:color w:val="00002A"/>
          <w:kern w:val="24"/>
          <w:sz w:val="28"/>
          <w:szCs w:val="28"/>
          <w:lang w:val="en-US" w:eastAsia="it-IT"/>
        </w:rPr>
        <w:t xml:space="preserve"> </w:t>
      </w:r>
      <w:r w:rsidR="00402218">
        <w:rPr>
          <w:rFonts w:cs="Times"/>
          <w:bCs/>
          <w:sz w:val="28"/>
          <w:szCs w:val="28"/>
          <w:lang w:val="en-US"/>
        </w:rPr>
        <w:t>Re</w:t>
      </w:r>
      <w:r w:rsidRPr="004E39F1">
        <w:rPr>
          <w:rFonts w:cs="Times"/>
          <w:bCs/>
          <w:sz w:val="28"/>
          <w:szCs w:val="28"/>
          <w:lang w:val="en-US"/>
        </w:rPr>
        <w:t>co</w:t>
      </w:r>
      <w:r w:rsidR="00402218">
        <w:rPr>
          <w:rFonts w:cs="Times"/>
          <w:bCs/>
          <w:sz w:val="28"/>
          <w:szCs w:val="28"/>
          <w:lang w:val="en-US"/>
        </w:rPr>
        <w:t>m</w:t>
      </w:r>
      <w:r w:rsidRPr="004E39F1">
        <w:rPr>
          <w:rFonts w:cs="Times"/>
          <w:bCs/>
          <w:sz w:val="28"/>
          <w:szCs w:val="28"/>
          <w:lang w:val="en-US"/>
        </w:rPr>
        <w:t>mended empirical antibiotic treatment of pneum</w:t>
      </w:r>
      <w:r>
        <w:rPr>
          <w:rFonts w:cs="Times"/>
          <w:bCs/>
          <w:sz w:val="28"/>
          <w:szCs w:val="28"/>
          <w:lang w:val="en-US"/>
        </w:rPr>
        <w:t>onia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>
        <w:rPr>
          <w:rFonts w:cs="Times"/>
          <w:bCs/>
          <w:sz w:val="28"/>
          <w:szCs w:val="28"/>
          <w:lang w:val="en-US"/>
        </w:rPr>
        <w:t xml:space="preserve"> from reference 6</w:t>
      </w:r>
      <w:r w:rsidRPr="004E39F1">
        <w:rPr>
          <w:rFonts w:cs="Times"/>
          <w:bCs/>
          <w:sz w:val="28"/>
          <w:szCs w:val="28"/>
          <w:lang w:val="en-US"/>
        </w:rPr>
        <w:t>)</w:t>
      </w:r>
    </w:p>
    <w:p w14:paraId="4D84A507" w14:textId="1B63FCE6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bCs/>
          <w:sz w:val="28"/>
          <w:szCs w:val="28"/>
          <w:lang w:val="en-US"/>
        </w:rPr>
        <w:t>Fig. 7</w:t>
      </w:r>
      <w:r w:rsidRPr="004E39F1">
        <w:rPr>
          <w:rFonts w:cs="Times"/>
          <w:b/>
          <w:bCs/>
          <w:sz w:val="28"/>
          <w:szCs w:val="28"/>
          <w:lang w:val="en-US"/>
        </w:rPr>
        <w:t>:</w:t>
      </w:r>
      <w:r w:rsidRPr="004E39F1">
        <w:rPr>
          <w:rFonts w:cs="Times"/>
          <w:bCs/>
          <w:sz w:val="28"/>
          <w:szCs w:val="28"/>
          <w:lang w:val="en-US"/>
        </w:rPr>
        <w:t xml:space="preserve"> Recommended empirical antibiotic treatment of urinary tract infections (</w:t>
      </w:r>
      <w:r>
        <w:rPr>
          <w:rFonts w:cs="Times"/>
          <w:bCs/>
          <w:sz w:val="28"/>
          <w:szCs w:val="28"/>
          <w:lang w:val="en-US"/>
        </w:rPr>
        <w:t>UTI)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>
        <w:rPr>
          <w:rFonts w:cs="Times"/>
          <w:bCs/>
          <w:sz w:val="28"/>
          <w:szCs w:val="28"/>
          <w:lang w:val="en-US"/>
        </w:rPr>
        <w:t xml:space="preserve"> from reference 6</w:t>
      </w:r>
      <w:r w:rsidRPr="004E39F1">
        <w:rPr>
          <w:rFonts w:cs="Times"/>
          <w:bCs/>
          <w:sz w:val="28"/>
          <w:szCs w:val="28"/>
          <w:lang w:val="en-US"/>
        </w:rPr>
        <w:t>)</w:t>
      </w:r>
    </w:p>
    <w:p w14:paraId="74BBCC11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</w:p>
    <w:p w14:paraId="63908FCD" w14:textId="110C35ED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bCs/>
          <w:sz w:val="28"/>
          <w:szCs w:val="28"/>
          <w:lang w:val="en-US"/>
        </w:rPr>
        <w:lastRenderedPageBreak/>
        <w:t>Fig. 8</w:t>
      </w:r>
      <w:r w:rsidRPr="004E39F1">
        <w:rPr>
          <w:rFonts w:cs="Times"/>
          <w:b/>
          <w:bCs/>
          <w:sz w:val="28"/>
          <w:szCs w:val="28"/>
          <w:lang w:val="en-US"/>
        </w:rPr>
        <w:t>:</w:t>
      </w:r>
      <w:r w:rsidRPr="004E39F1">
        <w:rPr>
          <w:rFonts w:cs="Times"/>
          <w:bCs/>
          <w:sz w:val="28"/>
          <w:szCs w:val="28"/>
          <w:lang w:val="en-US"/>
        </w:rPr>
        <w:t xml:space="preserve"> Algorithm for the management of AKI in patients with cirrh</w:t>
      </w:r>
      <w:r>
        <w:rPr>
          <w:rFonts w:cs="Times"/>
          <w:bCs/>
          <w:sz w:val="28"/>
          <w:szCs w:val="28"/>
          <w:lang w:val="en-US"/>
        </w:rPr>
        <w:t>osis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 w:rsidR="00402218">
        <w:rPr>
          <w:rFonts w:cs="Times"/>
          <w:bCs/>
          <w:sz w:val="28"/>
          <w:szCs w:val="28"/>
          <w:lang w:val="en-US"/>
        </w:rPr>
        <w:t xml:space="preserve"> from reference 318</w:t>
      </w:r>
      <w:r w:rsidRPr="004E39F1">
        <w:rPr>
          <w:rFonts w:cs="Times"/>
          <w:bCs/>
          <w:sz w:val="28"/>
          <w:szCs w:val="28"/>
          <w:lang w:val="en-US"/>
        </w:rPr>
        <w:t>)</w:t>
      </w:r>
    </w:p>
    <w:p w14:paraId="3BE98D68" w14:textId="51B0FC23" w:rsidR="00486B90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bCs/>
          <w:sz w:val="28"/>
          <w:szCs w:val="28"/>
          <w:lang w:val="en-US"/>
        </w:rPr>
        <w:t>Fig. 9</w:t>
      </w:r>
      <w:r w:rsidRPr="004E39F1">
        <w:rPr>
          <w:rFonts w:cs="Times"/>
          <w:b/>
          <w:bCs/>
          <w:sz w:val="28"/>
          <w:szCs w:val="28"/>
          <w:lang w:val="en-US"/>
        </w:rPr>
        <w:t>:</w:t>
      </w:r>
      <w:r w:rsidR="00402218">
        <w:rPr>
          <w:rFonts w:cs="Times"/>
          <w:bCs/>
          <w:sz w:val="28"/>
          <w:szCs w:val="28"/>
          <w:lang w:val="en-US"/>
        </w:rPr>
        <w:t xml:space="preserve"> Criteria based on urinary out</w:t>
      </w:r>
      <w:r w:rsidRPr="004E39F1">
        <w:rPr>
          <w:rFonts w:cs="Times"/>
          <w:bCs/>
          <w:sz w:val="28"/>
          <w:szCs w:val="28"/>
          <w:lang w:val="en-US"/>
        </w:rPr>
        <w:t>p</w:t>
      </w:r>
      <w:r w:rsidR="00402218">
        <w:rPr>
          <w:rFonts w:cs="Times"/>
          <w:bCs/>
          <w:sz w:val="28"/>
          <w:szCs w:val="28"/>
          <w:lang w:val="en-US"/>
        </w:rPr>
        <w:t>ut</w:t>
      </w:r>
      <w:r w:rsidRPr="004E39F1">
        <w:rPr>
          <w:rFonts w:cs="Times"/>
          <w:bCs/>
          <w:sz w:val="28"/>
          <w:szCs w:val="28"/>
          <w:lang w:val="en-US"/>
        </w:rPr>
        <w:t xml:space="preserve"> for the diagnosis o</w:t>
      </w:r>
      <w:r>
        <w:rPr>
          <w:rFonts w:cs="Times"/>
          <w:bCs/>
          <w:sz w:val="28"/>
          <w:szCs w:val="28"/>
          <w:lang w:val="en-US"/>
        </w:rPr>
        <w:t>f AKI (</w:t>
      </w:r>
      <w:r w:rsidR="0090734A">
        <w:rPr>
          <w:rFonts w:cs="Times"/>
          <w:bCs/>
          <w:sz w:val="28"/>
          <w:szCs w:val="28"/>
          <w:lang w:val="en-US"/>
        </w:rPr>
        <w:t>adapted</w:t>
      </w:r>
      <w:r w:rsidR="00402218">
        <w:rPr>
          <w:rFonts w:cs="Times"/>
          <w:bCs/>
          <w:sz w:val="28"/>
          <w:szCs w:val="28"/>
          <w:lang w:val="en-US"/>
        </w:rPr>
        <w:t xml:space="preserve"> from reference 310</w:t>
      </w:r>
      <w:r w:rsidRPr="004E39F1">
        <w:rPr>
          <w:rFonts w:cs="Times"/>
          <w:bCs/>
          <w:sz w:val="28"/>
          <w:szCs w:val="28"/>
          <w:lang w:val="en-US"/>
        </w:rPr>
        <w:t>)</w:t>
      </w:r>
    </w:p>
    <w:p w14:paraId="1A4C05CE" w14:textId="73634074" w:rsidR="00567B49" w:rsidRDefault="0090734A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bCs/>
          <w:sz w:val="28"/>
          <w:szCs w:val="28"/>
          <w:lang w:val="en-US"/>
        </w:rPr>
        <w:t>Fig</w:t>
      </w:r>
      <w:r w:rsidRPr="0090734A">
        <w:rPr>
          <w:rFonts w:cs="Times"/>
          <w:b/>
          <w:bCs/>
          <w:sz w:val="28"/>
          <w:szCs w:val="28"/>
          <w:lang w:val="en-US"/>
        </w:rPr>
        <w:t>. 10:</w:t>
      </w:r>
      <w:r>
        <w:rPr>
          <w:rFonts w:cs="Times"/>
          <w:bCs/>
          <w:sz w:val="28"/>
          <w:szCs w:val="28"/>
          <w:lang w:val="en-US"/>
        </w:rPr>
        <w:t xml:space="preserve"> </w:t>
      </w:r>
      <w:r w:rsidR="0036052A">
        <w:rPr>
          <w:rFonts w:cs="Times"/>
          <w:bCs/>
          <w:sz w:val="28"/>
          <w:szCs w:val="28"/>
        </w:rPr>
        <w:t xml:space="preserve">The </w:t>
      </w:r>
      <w:r>
        <w:rPr>
          <w:rFonts w:cs="Times"/>
          <w:bCs/>
          <w:sz w:val="28"/>
          <w:szCs w:val="28"/>
          <w:lang w:val="en-US"/>
        </w:rPr>
        <w:t>Pathophy</w:t>
      </w:r>
      <w:r w:rsidR="00486B90" w:rsidRPr="004E39F1">
        <w:rPr>
          <w:rFonts w:cs="Times"/>
          <w:bCs/>
          <w:sz w:val="28"/>
          <w:szCs w:val="28"/>
          <w:lang w:val="en-US"/>
        </w:rPr>
        <w:t>siology of Hepatopulmonary synd</w:t>
      </w:r>
      <w:r w:rsidR="00486B90">
        <w:rPr>
          <w:rFonts w:cs="Times"/>
          <w:bCs/>
          <w:sz w:val="28"/>
          <w:szCs w:val="28"/>
          <w:lang w:val="en-US"/>
        </w:rPr>
        <w:t>rome (</w:t>
      </w:r>
      <w:r>
        <w:rPr>
          <w:rFonts w:cs="Times"/>
          <w:bCs/>
          <w:sz w:val="28"/>
          <w:szCs w:val="28"/>
          <w:lang w:val="en-US"/>
        </w:rPr>
        <w:t>adapted</w:t>
      </w:r>
      <w:r w:rsidR="00402218">
        <w:rPr>
          <w:rFonts w:cs="Times"/>
          <w:bCs/>
          <w:sz w:val="28"/>
          <w:szCs w:val="28"/>
          <w:lang w:val="en-US"/>
        </w:rPr>
        <w:t xml:space="preserve"> from reference 499</w:t>
      </w:r>
      <w:r w:rsidR="00486B90" w:rsidRPr="004E39F1">
        <w:rPr>
          <w:rFonts w:cs="Times"/>
          <w:bCs/>
          <w:sz w:val="28"/>
          <w:szCs w:val="28"/>
          <w:lang w:val="en-US"/>
        </w:rPr>
        <w:t>)</w:t>
      </w:r>
    </w:p>
    <w:p w14:paraId="04FE5E72" w14:textId="2D79EFB7" w:rsidR="00D7283D" w:rsidRDefault="00567B49" w:rsidP="00567B49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  <w:lang w:val="en-US"/>
        </w:rPr>
      </w:pPr>
      <w:r>
        <w:rPr>
          <w:rFonts w:cs="Times"/>
          <w:b/>
          <w:bCs/>
          <w:sz w:val="28"/>
          <w:szCs w:val="28"/>
          <w:lang w:val="en-US"/>
        </w:rPr>
        <w:t>Fig. 11</w:t>
      </w:r>
      <w:r w:rsidRPr="0090734A">
        <w:rPr>
          <w:rFonts w:cs="Times"/>
          <w:b/>
          <w:bCs/>
          <w:sz w:val="28"/>
          <w:szCs w:val="28"/>
          <w:lang w:val="en-US"/>
        </w:rPr>
        <w:t>:</w:t>
      </w:r>
      <w:r>
        <w:rPr>
          <w:rFonts w:cs="Times"/>
          <w:bCs/>
          <w:sz w:val="28"/>
          <w:szCs w:val="28"/>
          <w:lang w:val="en-US"/>
        </w:rPr>
        <w:t xml:space="preserve"> </w:t>
      </w:r>
      <w:r>
        <w:rPr>
          <w:rFonts w:cs="Times"/>
          <w:bCs/>
          <w:sz w:val="28"/>
          <w:szCs w:val="28"/>
        </w:rPr>
        <w:t xml:space="preserve">The </w:t>
      </w:r>
      <w:r>
        <w:rPr>
          <w:rFonts w:cs="Times"/>
          <w:bCs/>
          <w:sz w:val="28"/>
          <w:szCs w:val="28"/>
          <w:lang w:val="en-US"/>
        </w:rPr>
        <w:t>Pathogenesis</w:t>
      </w:r>
      <w:r w:rsidRPr="004E39F1">
        <w:rPr>
          <w:rFonts w:cs="Times"/>
          <w:bCs/>
          <w:sz w:val="28"/>
          <w:szCs w:val="28"/>
          <w:lang w:val="en-US"/>
        </w:rPr>
        <w:t xml:space="preserve"> of Hepatopulmonary synd</w:t>
      </w:r>
      <w:r>
        <w:rPr>
          <w:rFonts w:cs="Times"/>
          <w:bCs/>
          <w:sz w:val="28"/>
          <w:szCs w:val="28"/>
          <w:lang w:val="en-US"/>
        </w:rPr>
        <w:t xml:space="preserve">rome </w:t>
      </w:r>
      <w:bookmarkStart w:id="0" w:name="_GoBack"/>
      <w:bookmarkEnd w:id="0"/>
    </w:p>
    <w:p w14:paraId="5054533B" w14:textId="3BCE776E" w:rsidR="00567B49" w:rsidRPr="00567B49" w:rsidRDefault="00567B49" w:rsidP="00567B49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</w:rPr>
      </w:pPr>
      <w:r w:rsidRPr="00567B49">
        <w:rPr>
          <w:rFonts w:cs="Times"/>
          <w:b/>
          <w:bCs/>
          <w:sz w:val="28"/>
          <w:szCs w:val="28"/>
          <w:lang w:val="en-US"/>
        </w:rPr>
        <w:t>Legend:</w:t>
      </w:r>
      <w:r>
        <w:rPr>
          <w:rFonts w:cs="Times"/>
          <w:bCs/>
          <w:sz w:val="28"/>
          <w:szCs w:val="28"/>
          <w:lang w:val="en-US"/>
        </w:rPr>
        <w:t xml:space="preserve"> ET, </w:t>
      </w:r>
      <w:proofErr w:type="gramStart"/>
      <w:r>
        <w:rPr>
          <w:rFonts w:cs="Times"/>
          <w:bCs/>
          <w:sz w:val="28"/>
          <w:szCs w:val="28"/>
          <w:lang w:val="en-US"/>
        </w:rPr>
        <w:t>endothelin ;</w:t>
      </w:r>
      <w:proofErr w:type="gramEnd"/>
      <w:r>
        <w:rPr>
          <w:rFonts w:cs="Times"/>
          <w:bCs/>
          <w:sz w:val="28"/>
          <w:szCs w:val="28"/>
          <w:lang w:val="en-US"/>
        </w:rPr>
        <w:t xml:space="preserve"> eNOS, endothelial nitric oxide synthase ; iNOS, inducible nitric oxide synthase;  NO, nitric oxide ;  HO , Heme oxygenase-1 ; CO, carbon monoxide; CX3CL1, fractalkine; VGF-A, vascular endothelial growth factor A</w:t>
      </w:r>
    </w:p>
    <w:p w14:paraId="7187701F" w14:textId="77777777" w:rsidR="00567B49" w:rsidRPr="00567B49" w:rsidRDefault="00567B49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28"/>
          <w:szCs w:val="28"/>
        </w:rPr>
      </w:pPr>
    </w:p>
    <w:p w14:paraId="53FEF4E1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32"/>
          <w:szCs w:val="32"/>
          <w:lang w:val="en-US"/>
        </w:rPr>
      </w:pPr>
    </w:p>
    <w:p w14:paraId="77052C0F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32"/>
          <w:szCs w:val="32"/>
          <w:lang w:val="en-US"/>
        </w:rPr>
      </w:pPr>
    </w:p>
    <w:p w14:paraId="1C7830DD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bCs/>
          <w:sz w:val="32"/>
          <w:szCs w:val="32"/>
          <w:lang w:val="en-US"/>
        </w:rPr>
      </w:pPr>
    </w:p>
    <w:p w14:paraId="49F75A0A" w14:textId="77777777" w:rsidR="00486B90" w:rsidRPr="004E39F1" w:rsidRDefault="00486B90" w:rsidP="00486B90">
      <w:pPr>
        <w:widowControl w:val="0"/>
        <w:autoSpaceDE w:val="0"/>
        <w:autoSpaceDN w:val="0"/>
        <w:adjustRightInd w:val="0"/>
        <w:spacing w:line="480" w:lineRule="auto"/>
        <w:jc w:val="both"/>
        <w:rPr>
          <w:rFonts w:cs="Times"/>
          <w:sz w:val="32"/>
          <w:szCs w:val="32"/>
          <w:lang w:val="en-US"/>
        </w:rPr>
      </w:pPr>
    </w:p>
    <w:p w14:paraId="1EFBF635" w14:textId="77777777" w:rsidR="00BD12C2" w:rsidRDefault="00BD12C2"/>
    <w:sectPr w:rsidR="00BD12C2" w:rsidSect="005D207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0C21"/>
    <w:multiLevelType w:val="multilevel"/>
    <w:tmpl w:val="6D2459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A27F6"/>
    <w:multiLevelType w:val="hybridMultilevel"/>
    <w:tmpl w:val="6D2459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B603E"/>
    <w:multiLevelType w:val="multilevel"/>
    <w:tmpl w:val="6D2459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951963"/>
    <w:multiLevelType w:val="hybridMultilevel"/>
    <w:tmpl w:val="64FC9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08376D"/>
    <w:multiLevelType w:val="multilevel"/>
    <w:tmpl w:val="6D2459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B90"/>
    <w:rsid w:val="000339C1"/>
    <w:rsid w:val="000C249A"/>
    <w:rsid w:val="00134FCF"/>
    <w:rsid w:val="001447B7"/>
    <w:rsid w:val="001D5A2C"/>
    <w:rsid w:val="002908B3"/>
    <w:rsid w:val="0036052A"/>
    <w:rsid w:val="00402218"/>
    <w:rsid w:val="00486B90"/>
    <w:rsid w:val="00522DA1"/>
    <w:rsid w:val="00567B49"/>
    <w:rsid w:val="005C2F2D"/>
    <w:rsid w:val="005D2075"/>
    <w:rsid w:val="006678D7"/>
    <w:rsid w:val="006965E2"/>
    <w:rsid w:val="00870439"/>
    <w:rsid w:val="0090734A"/>
    <w:rsid w:val="00A61445"/>
    <w:rsid w:val="00B8214A"/>
    <w:rsid w:val="00BC453D"/>
    <w:rsid w:val="00BD12C2"/>
    <w:rsid w:val="00BE3585"/>
    <w:rsid w:val="00C23BB9"/>
    <w:rsid w:val="00C86AEA"/>
    <w:rsid w:val="00CF54C7"/>
    <w:rsid w:val="00D7283D"/>
    <w:rsid w:val="00DD79A7"/>
    <w:rsid w:val="00E44535"/>
    <w:rsid w:val="00EE633D"/>
    <w:rsid w:val="00F8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4B1CE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6B9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86B90"/>
    <w:pPr>
      <w:ind w:left="720"/>
      <w:contextualSpacing/>
    </w:pPr>
  </w:style>
  <w:style w:type="table" w:styleId="Grigliatabella">
    <w:name w:val="Table Grid"/>
    <w:basedOn w:val="Tabellanormale"/>
    <w:uiPriority w:val="59"/>
    <w:rsid w:val="00EE633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90734A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6B9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86B90"/>
    <w:pPr>
      <w:ind w:left="720"/>
      <w:contextualSpacing/>
    </w:pPr>
  </w:style>
  <w:style w:type="table" w:styleId="Grigliatabella">
    <w:name w:val="Table Grid"/>
    <w:basedOn w:val="Tabellanormale"/>
    <w:uiPriority w:val="59"/>
    <w:rsid w:val="00EE633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90734A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2FE9A0-AB46-A440-B61A-7BC62991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220</Words>
  <Characters>1259</Characters>
  <Application>Microsoft Macintosh Word</Application>
  <DocSecurity>0</DocSecurity>
  <Lines>10</Lines>
  <Paragraphs>2</Paragraphs>
  <ScaleCrop>false</ScaleCrop>
  <Company>unipd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dimed</dc:creator>
  <cp:keywords/>
  <dc:description/>
  <cp:lastModifiedBy>angeli</cp:lastModifiedBy>
  <cp:revision>5</cp:revision>
  <dcterms:created xsi:type="dcterms:W3CDTF">2018-03-03T19:13:00Z</dcterms:created>
  <dcterms:modified xsi:type="dcterms:W3CDTF">2018-03-05T13:03:00Z</dcterms:modified>
</cp:coreProperties>
</file>